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8C" w:rsidRDefault="00B0308C" w:rsidP="002C03C0"/>
    <w:p w:rsidR="002C03C0" w:rsidRDefault="002C03C0" w:rsidP="002C03C0"/>
    <w:p w:rsidR="002C65D8" w:rsidRPr="002C65D8" w:rsidRDefault="002C65D8" w:rsidP="002C65D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24"/>
          <w:szCs w:val="22"/>
          <w:u w:val="single"/>
          <w:lang w:val="es-ES"/>
        </w:rPr>
      </w:pPr>
      <w:r w:rsidRPr="002C65D8">
        <w:rPr>
          <w:rFonts w:asciiTheme="minorHAnsi" w:eastAsiaTheme="minorHAnsi" w:hAnsiTheme="minorHAnsi" w:cstheme="minorBidi"/>
          <w:b/>
          <w:noProof/>
          <w:sz w:val="24"/>
          <w:szCs w:val="22"/>
          <w:u w:val="single"/>
          <w:lang w:val="es-ES"/>
        </w:rPr>
        <w:t>PRESUPUESTOS PARTICIPATIVOS MENDAVIA 202</w:t>
      </w:r>
      <w:r w:rsidR="00F9752F">
        <w:rPr>
          <w:rFonts w:asciiTheme="minorHAnsi" w:eastAsiaTheme="minorHAnsi" w:hAnsiTheme="minorHAnsi" w:cstheme="minorBidi"/>
          <w:b/>
          <w:noProof/>
          <w:sz w:val="24"/>
          <w:szCs w:val="22"/>
          <w:u w:val="single"/>
          <w:lang w:val="es-ES"/>
        </w:rPr>
        <w:t>4</w:t>
      </w:r>
    </w:p>
    <w:p w:rsidR="002C65D8" w:rsidRPr="002C65D8" w:rsidRDefault="002C65D8" w:rsidP="002C65D8">
      <w:pPr>
        <w:spacing w:after="200" w:line="276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s-ES"/>
        </w:rPr>
      </w:pP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El Ayuntamiento de Mendavia presenta a los vecinos y vecinas de Mendavia los Presupuestos Participativos de 2021, incluidos dentro del Presupuesto Municipal. Es una herramienta que sirve para dar cabida a inquitudes, actividades y proyectos presentados por personas o asociaciones de Mendavia. 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Queremos impulsar la participación y ayudar a que vuestras propuestas se vean reflejadas en un proyecto que pueda ser apoyado por el resto de la población.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Mediante los Presupuestos Participativos los ciudadanos pueden proponer y decidir sobre el destino de parte de los recursos municipales participando mediante la presentación de propuestas o decidiendo mediante votación popular qué propuestas le resultan más atractivas. 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La cuantía de gasto municipal es de 15.000€ (IVA incluido).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Podrán presentar su propuesta cualquier persona, asociación o colectivo de Mendavia. La votación popular es para mayores de 16 años.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s-ES"/>
        </w:rPr>
      </w:pP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s-ES"/>
        </w:rPr>
        <w:t xml:space="preserve">BASES </w:t>
      </w:r>
      <w:r w:rsidR="00C36944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s-ES"/>
        </w:rPr>
        <w:t>PRESUPUESTOS PARTICIPATIVOS 2024</w:t>
      </w:r>
    </w:p>
    <w:p w:rsid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1º - El plazo de presentación</w:t>
      </w:r>
      <w:r w:rsidR="00C36944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 de los proyectos se inicia el 2</w:t>
      </w: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5 de febrero y finaliza el </w:t>
      </w:r>
      <w:r w:rsidR="00C36944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2 de abril de 2024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2º - La ejecución del proyecto o los proyectos ganadores debe ser</w:t>
      </w:r>
      <w:r w:rsidR="00C36944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 antes de finalizar el año 2024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3º - La cuantía destinada para los </w:t>
      </w:r>
      <w:r w:rsidR="00C36944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Proyectos Participativos de 2024</w:t>
      </w: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 es de 15.000€ (IVA incluido), no pudiendo superar ningún proyecto presentado esa cantidad. En ningún caso la ejecución de la propuesta podrá generar costes posteriores a cargo del Ayuntamiento, salvo los relacionados con el mantenimiento del patrimonio material resultante.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4º - Después de la finalización del plazo de presentación todos los interesados e interesadas recibirán una comunicación con la convocatoria de la presentación de los proyectos y su sometimiento a votación popular. En el caso de no poder celebrar la presentación de los proyectos y/o la votación popular por restricciones sanitarias se hará pública la forma en la que se procederá mediante cartelería, página web del Ayuntamiento y redes sociales.</w:t>
      </w:r>
    </w:p>
    <w:p w:rsidR="002A55DF" w:rsidRDefault="002A55DF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5º - Aquellas Asociaciones que hayan realizado Proyecto Participativo en los dos ejercicios </w:t>
      </w:r>
      <w:r w:rsidR="00C36944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anteriores </w:t>
      </w: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20</w:t>
      </w:r>
      <w:r w:rsidR="00C36944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2</w:t>
      </w:r>
      <w:r w:rsidR="000E5B4E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1 Y 2022</w:t>
      </w:r>
      <w:bookmarkStart w:id="0" w:name="_GoBack"/>
      <w:bookmarkEnd w:id="0"/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, por importe superior a 9.000€ (IVA incluido), no podrán participar en los Presu</w:t>
      </w:r>
      <w:r w:rsidR="00C36944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puestos Participativos de 2024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6º - El Proyecto debe tener ubicación en un espacio municipal. No se considera Proyecto Participativo la adquisición de material para la realización de la actividad ordinaria de un colectivo o asociación. La propia dinámica de los Presupuestos Participativos impulsa actuaciones en las que existe interrelación cultural y beneficien a la población local.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7º - La documentación que debe rellenarse está disponible en el Ayuntamiento de Mendavia, en horario de oficina, de 9 a 14 horas, y en el siguiente enlace:</w:t>
      </w:r>
    </w:p>
    <w:p w:rsidR="002C65D8" w:rsidRPr="002C65D8" w:rsidRDefault="000E5B4E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hyperlink r:id="rId7" w:history="1">
        <w:r w:rsidR="002C65D8" w:rsidRPr="002C65D8">
          <w:rPr>
            <w:rFonts w:asciiTheme="minorHAnsi" w:eastAsiaTheme="minorHAnsi" w:hAnsiTheme="minorHAnsi" w:cstheme="minorBidi"/>
            <w:noProof/>
            <w:color w:val="0000FF" w:themeColor="hyperlink"/>
            <w:sz w:val="22"/>
            <w:szCs w:val="22"/>
            <w:u w:val="single"/>
            <w:lang w:val="es-ES"/>
          </w:rPr>
          <w:t>http://www.mendavia.es/wp-content/uploads/sites/53/2021/02/</w:t>
        </w:r>
      </w:hyperlink>
      <w:r w:rsidR="002C65D8"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 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Propuesta-de-proyecto-de-presupuestos-participativos.doc Pudiendo añadir cuanta documentación consideren oportuna para la clarificación de su propuesta. 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8º - Todos los Proyectos presentados deben cumplir estas bases, siendo estos admitidos o excluidos por la Comisión de Cultura, Deporte, Juventud y Festejos de manera objetiva.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9º- Podrán votar todas las personas </w:t>
      </w:r>
      <w:r w:rsidR="004C06DD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nacidas a partir del 01/01/2006</w:t>
      </w: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. Las papeletas de voto se configurarán con las propuestas admitidas y se encontrarán en los espacios que se habiliten durante el plazo de votación. Las propuestas admitidas y el plazo de votación se harán públicos mediante cartelería, página web del Ayuntamiento y redes sociales.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 xml:space="preserve">Finalizada la votación y comprobados los votos emitidos se hará público el proyecto ganador y, si hubiese sobrante en la partida destinada a </w:t>
      </w:r>
      <w:r w:rsidR="00C36944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Presupuestos Participativos 2024</w:t>
      </w:r>
      <w:r w:rsidRPr="002C65D8"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t>, se ejecutará la siguiente propuesta que habiendo obtenido mayor número de votos pudiera realizarse con el presupuesto restante. Toda aquella propuesta que supere el presupuesto restante, será descartada y computará la siguiente que entre dentro del presupuesto.</w:t>
      </w:r>
    </w:p>
    <w:p w:rsidR="002C65D8" w:rsidRPr="002C65D8" w:rsidRDefault="002C65D8" w:rsidP="002C65D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2C03C0" w:rsidRDefault="002C03C0" w:rsidP="002C03C0"/>
    <w:p w:rsidR="002C03C0" w:rsidRDefault="002C03C0" w:rsidP="002C03C0"/>
    <w:p w:rsidR="002C03C0" w:rsidRDefault="002C03C0" w:rsidP="002C03C0"/>
    <w:p w:rsidR="002C03C0" w:rsidRDefault="002C03C0" w:rsidP="002C03C0"/>
    <w:p w:rsidR="002C03C0" w:rsidRDefault="002C03C0" w:rsidP="002C03C0"/>
    <w:sectPr w:rsidR="002C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3" w:rsidRDefault="00B15C63">
      <w:r>
        <w:separator/>
      </w:r>
    </w:p>
  </w:endnote>
  <w:endnote w:type="continuationSeparator" w:id="0">
    <w:p w:rsidR="00B15C63" w:rsidRDefault="00B1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A9" w:rsidRDefault="00912A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A9" w:rsidRDefault="00912A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A9" w:rsidRDefault="00912A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3" w:rsidRDefault="00B15C63">
      <w:r>
        <w:separator/>
      </w:r>
    </w:p>
  </w:footnote>
  <w:footnote w:type="continuationSeparator" w:id="0">
    <w:p w:rsidR="00B15C63" w:rsidRDefault="00B1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A9" w:rsidRDefault="00912A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3045"/>
    </w:tblGrid>
    <w:tr w:rsidR="00912AA9">
      <w:tc>
        <w:tcPr>
          <w:tcW w:w="5599" w:type="dxa"/>
        </w:tcPr>
        <w:p w:rsidR="00912AA9" w:rsidRDefault="002C03C0">
          <w:r>
            <w:rPr>
              <w:noProof/>
              <w:lang w:val="es-ES"/>
            </w:rPr>
            <w:drawing>
              <wp:inline distT="0" distB="0" distL="0" distR="0">
                <wp:extent cx="685800" cy="819150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2AA9" w:rsidRDefault="00912AA9">
          <w:r>
            <w:t>AYUNTAMIENTO DE MENDAVIA</w:t>
          </w:r>
        </w:p>
      </w:tc>
      <w:tc>
        <w:tcPr>
          <w:tcW w:w="3045" w:type="dxa"/>
        </w:tcPr>
        <w:p w:rsidR="00912AA9" w:rsidRDefault="00912AA9"/>
        <w:p w:rsidR="00912AA9" w:rsidRDefault="00912AA9">
          <w:pPr>
            <w:jc w:val="center"/>
          </w:pPr>
        </w:p>
        <w:p w:rsidR="00912AA9" w:rsidRDefault="00912AA9">
          <w:pPr>
            <w:jc w:val="center"/>
          </w:pPr>
          <w:r>
            <w:t>Plaza Del Ayuntamiento,1</w:t>
          </w:r>
        </w:p>
        <w:p w:rsidR="00912AA9" w:rsidRDefault="00912AA9">
          <w:pPr>
            <w:jc w:val="center"/>
          </w:pPr>
          <w:r>
            <w:t>31587 Mendavia – Navarra</w:t>
          </w:r>
        </w:p>
        <w:p w:rsidR="00912AA9" w:rsidRDefault="00912AA9">
          <w:pPr>
            <w:jc w:val="center"/>
          </w:pPr>
          <w:r>
            <w:t>Tfno:948685176 – Fax 948695303</w:t>
          </w:r>
        </w:p>
        <w:p w:rsidR="00912AA9" w:rsidRDefault="00912AA9">
          <w:pPr>
            <w:jc w:val="center"/>
          </w:pPr>
          <w:r>
            <w:t>e-mail: secretaria@mendavia.org</w:t>
          </w:r>
        </w:p>
        <w:p w:rsidR="00912AA9" w:rsidRDefault="00912AA9">
          <w:pPr>
            <w:jc w:val="center"/>
          </w:pPr>
          <w:r>
            <w:t>C.I.F.: P3116500D</w:t>
          </w:r>
        </w:p>
        <w:p w:rsidR="00912AA9" w:rsidRDefault="00912AA9"/>
      </w:tc>
    </w:tr>
  </w:tbl>
  <w:p w:rsidR="00912AA9" w:rsidRDefault="00912A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A9" w:rsidRDefault="00912A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C0"/>
    <w:rsid w:val="000834D5"/>
    <w:rsid w:val="000D018B"/>
    <w:rsid w:val="000E5B4E"/>
    <w:rsid w:val="001F58CF"/>
    <w:rsid w:val="0020261C"/>
    <w:rsid w:val="002A55DF"/>
    <w:rsid w:val="002C0070"/>
    <w:rsid w:val="002C03C0"/>
    <w:rsid w:val="002C2075"/>
    <w:rsid w:val="002C65D8"/>
    <w:rsid w:val="002E4FFE"/>
    <w:rsid w:val="00326ED9"/>
    <w:rsid w:val="00361EDA"/>
    <w:rsid w:val="00386463"/>
    <w:rsid w:val="003C0068"/>
    <w:rsid w:val="004071D9"/>
    <w:rsid w:val="00413595"/>
    <w:rsid w:val="00466423"/>
    <w:rsid w:val="004C06DD"/>
    <w:rsid w:val="004F0230"/>
    <w:rsid w:val="00626E8F"/>
    <w:rsid w:val="006E202E"/>
    <w:rsid w:val="006F1630"/>
    <w:rsid w:val="00775527"/>
    <w:rsid w:val="007A5BA3"/>
    <w:rsid w:val="00811EC4"/>
    <w:rsid w:val="008B5273"/>
    <w:rsid w:val="008F3E51"/>
    <w:rsid w:val="00905D65"/>
    <w:rsid w:val="00912AA9"/>
    <w:rsid w:val="00921D59"/>
    <w:rsid w:val="009C634A"/>
    <w:rsid w:val="00A17A8E"/>
    <w:rsid w:val="00A51270"/>
    <w:rsid w:val="00A87E40"/>
    <w:rsid w:val="00B0308C"/>
    <w:rsid w:val="00B04DA7"/>
    <w:rsid w:val="00B15C63"/>
    <w:rsid w:val="00BB1639"/>
    <w:rsid w:val="00C26EEE"/>
    <w:rsid w:val="00C36944"/>
    <w:rsid w:val="00C47A85"/>
    <w:rsid w:val="00CB3AD8"/>
    <w:rsid w:val="00D2587C"/>
    <w:rsid w:val="00DF197F"/>
    <w:rsid w:val="00E07EB5"/>
    <w:rsid w:val="00E85859"/>
    <w:rsid w:val="00EC6CEF"/>
    <w:rsid w:val="00F439C7"/>
    <w:rsid w:val="00F449B1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rsid w:val="00B0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qFormat/>
    <w:rsid w:val="00B030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paragraph" w:customStyle="1" w:styleId="negritas">
    <w:name w:val="negritas"/>
    <w:basedOn w:val="Normal"/>
    <w:rsid w:val="00B0308C"/>
    <w:rPr>
      <w:b/>
      <w:i/>
      <w:sz w:val="22"/>
    </w:rPr>
  </w:style>
  <w:style w:type="character" w:styleId="Hipervnculo">
    <w:name w:val="Hyperlink"/>
    <w:basedOn w:val="Fuentedeprrafopredeter"/>
    <w:rsid w:val="00B0308C"/>
    <w:rPr>
      <w:color w:val="0000FF"/>
      <w:u w:val="single"/>
    </w:rPr>
  </w:style>
  <w:style w:type="table" w:styleId="Tablaconcuadrcula">
    <w:name w:val="Table Grid"/>
    <w:basedOn w:val="Tablanormal"/>
    <w:rsid w:val="00C26EE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07EB5"/>
    <w:pPr>
      <w:tabs>
        <w:tab w:val="center" w:pos="4252"/>
        <w:tab w:val="right" w:pos="8504"/>
      </w:tabs>
    </w:pPr>
    <w:rPr>
      <w:rFonts w:ascii="CG Times" w:hAnsi="CG Times"/>
      <w:lang w:eastAsia="eu-ES"/>
    </w:rPr>
  </w:style>
  <w:style w:type="paragraph" w:styleId="Piedepgina">
    <w:name w:val="footer"/>
    <w:basedOn w:val="Normal"/>
    <w:rsid w:val="00912A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5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5BA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rsid w:val="00B0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qFormat/>
    <w:rsid w:val="00B030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paragraph" w:customStyle="1" w:styleId="negritas">
    <w:name w:val="negritas"/>
    <w:basedOn w:val="Normal"/>
    <w:rsid w:val="00B0308C"/>
    <w:rPr>
      <w:b/>
      <w:i/>
      <w:sz w:val="22"/>
    </w:rPr>
  </w:style>
  <w:style w:type="character" w:styleId="Hipervnculo">
    <w:name w:val="Hyperlink"/>
    <w:basedOn w:val="Fuentedeprrafopredeter"/>
    <w:rsid w:val="00B0308C"/>
    <w:rPr>
      <w:color w:val="0000FF"/>
      <w:u w:val="single"/>
    </w:rPr>
  </w:style>
  <w:style w:type="table" w:styleId="Tablaconcuadrcula">
    <w:name w:val="Table Grid"/>
    <w:basedOn w:val="Tablanormal"/>
    <w:rsid w:val="00C26EE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07EB5"/>
    <w:pPr>
      <w:tabs>
        <w:tab w:val="center" w:pos="4252"/>
        <w:tab w:val="right" w:pos="8504"/>
      </w:tabs>
    </w:pPr>
    <w:rPr>
      <w:rFonts w:ascii="CG Times" w:hAnsi="CG Times"/>
      <w:lang w:eastAsia="eu-ES"/>
    </w:rPr>
  </w:style>
  <w:style w:type="paragraph" w:styleId="Piedepgina">
    <w:name w:val="footer"/>
    <w:basedOn w:val="Normal"/>
    <w:rsid w:val="00912A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5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5BA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ndavia.es/wp-content/uploads/sites/53/2021/02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IA\DAT_1_1\PMH\DOT\VERTRES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VERTRES1.DOT</Template>
  <TotalTime>17</TotalTime>
  <Pages>2</Pages>
  <Words>577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Una vez examinado el Padrón Municipal de Habitantes y los antecedentes con el mismo relacionados, obrantes en la Secretaría de –––––:</vt:lpstr>
    </vt:vector>
  </TitlesOfParts>
  <Company>ANIMSA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vez examinado el Padrón Municipal de Habitantes y los antecedentes con el mismo relacionados, obrantes en la Secretaría de –––––:</dc:title>
  <dc:creator>Blanca Goñi Allo</dc:creator>
  <cp:lastModifiedBy>Charo Quijera Maiza</cp:lastModifiedBy>
  <cp:revision>10</cp:revision>
  <dcterms:created xsi:type="dcterms:W3CDTF">2021-02-12T12:52:00Z</dcterms:created>
  <dcterms:modified xsi:type="dcterms:W3CDTF">2024-01-30T09:46:00Z</dcterms:modified>
</cp:coreProperties>
</file>